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spese utenze immobili in locazione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spese utenze immobili in locazione.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